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1B" w:rsidRPr="00A2491B" w:rsidRDefault="00A2491B" w:rsidP="00A2491B">
      <w:pPr>
        <w:spacing w:after="0" w:line="240" w:lineRule="auto"/>
        <w:jc w:val="center"/>
        <w:outlineLvl w:val="3"/>
        <w:rPr>
          <w:rFonts w:ascii="Arial" w:eastAsia="Times New Roman" w:hAnsi="Arial" w:cs="Arial"/>
          <w:caps/>
          <w:color w:val="2B2B2B"/>
          <w:sz w:val="19"/>
          <w:szCs w:val="19"/>
        </w:rPr>
      </w:pPr>
      <w:r w:rsidRPr="00A2491B">
        <w:rPr>
          <w:rFonts w:ascii="Arial" w:eastAsia="Times New Roman" w:hAnsi="Arial" w:cs="Arial"/>
          <w:b/>
          <w:bCs/>
          <w:caps/>
          <w:color w:val="2B2B2B"/>
          <w:sz w:val="19"/>
        </w:rPr>
        <w:t>«О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В целях повышения эффективности мер по противодействию коррупции, руководствуясь частью 5 статьи 9 Федерального закона от 25.12.2008 № 273-ФЗ "О противодействии коррупции" (Собрание законодательства Российской Федерации, 2008, № 52, ст. 6228), статьей 13 Федерального закона от 28.12.2010 № 403-ФЗ "О Следственном комитете Российской Федерации" (Собрание законодательства Российской Федерации, 2011, № 1, ст. 15) и пунктом 43 Положения о Следственном комитете Российской Федерации, утвержденного Указом</w:t>
      </w:r>
      <w:proofErr w:type="gramEnd"/>
      <w:r w:rsidRPr="00A2491B">
        <w:rPr>
          <w:rFonts w:ascii="Arial" w:eastAsia="Times New Roman" w:hAnsi="Arial" w:cs="Arial"/>
          <w:color w:val="2B2B2B"/>
          <w:sz w:val="20"/>
          <w:szCs w:val="20"/>
        </w:rPr>
        <w:t xml:space="preserve">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2012, № 4, ст. 471), приказываю:</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1. Утвердить прилагаемый Порядок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 1).</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2. </w:t>
      </w:r>
      <w:proofErr w:type="gramStart"/>
      <w:r w:rsidRPr="00A2491B">
        <w:rPr>
          <w:rFonts w:ascii="Arial" w:eastAsia="Times New Roman" w:hAnsi="Arial" w:cs="Arial"/>
          <w:color w:val="2B2B2B"/>
          <w:sz w:val="20"/>
          <w:szCs w:val="20"/>
        </w:rPr>
        <w:t>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w:t>
      </w:r>
      <w:proofErr w:type="gramEnd"/>
      <w:r w:rsidRPr="00A2491B">
        <w:rPr>
          <w:rFonts w:ascii="Arial" w:eastAsia="Times New Roman" w:hAnsi="Arial" w:cs="Arial"/>
          <w:color w:val="2B2B2B"/>
          <w:sz w:val="20"/>
          <w:szCs w:val="20"/>
        </w:rPr>
        <w:t xml:space="preserve"> Российской Федерации, руководителям учреждений Следственного комитета Российской Федерации:</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2.1. </w:t>
      </w:r>
      <w:proofErr w:type="gramStart"/>
      <w:r w:rsidRPr="00A2491B">
        <w:rPr>
          <w:rFonts w:ascii="Arial" w:eastAsia="Times New Roman" w:hAnsi="Arial" w:cs="Arial"/>
          <w:color w:val="2B2B2B"/>
          <w:sz w:val="20"/>
          <w:szCs w:val="20"/>
        </w:rPr>
        <w:t>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Журнал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 2).</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 xml:space="preserve">2.2. Своевременно передавать зарегистрированные уведомления </w:t>
      </w:r>
      <w:proofErr w:type="gramStart"/>
      <w:r w:rsidRPr="00A2491B">
        <w:rPr>
          <w:rFonts w:ascii="Arial" w:eastAsia="Times New Roman" w:hAnsi="Arial" w:cs="Arial"/>
          <w:color w:val="2B2B2B"/>
          <w:sz w:val="20"/>
          <w:szCs w:val="20"/>
        </w:rPr>
        <w:t>для принятия решения о проведении проверки содержащихся в них сведений в соответствии</w:t>
      </w:r>
      <w:proofErr w:type="gramEnd"/>
      <w:r w:rsidRPr="00A2491B">
        <w:rPr>
          <w:rFonts w:ascii="Arial" w:eastAsia="Times New Roman" w:hAnsi="Arial" w:cs="Arial"/>
          <w:color w:val="2B2B2B"/>
          <w:sz w:val="20"/>
          <w:szCs w:val="20"/>
        </w:rPr>
        <w:t xml:space="preserve"> с Порядком.</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lastRenderedPageBreak/>
        <w:t>2.3. Организовать проверку сведений, содержащихся в уведомлениях, в соответствии с законодательством Российской Федерации.</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2.4. Обобщать и анализировать состояние работы по организации проверок и профилактике коррупционных правонарушений не реже одного раза в год.</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3. </w:t>
      </w:r>
      <w:proofErr w:type="gramStart"/>
      <w:r w:rsidRPr="00A2491B">
        <w:rPr>
          <w:rFonts w:ascii="Arial" w:eastAsia="Times New Roman" w:hAnsi="Arial" w:cs="Arial"/>
          <w:color w:val="2B2B2B"/>
          <w:sz w:val="20"/>
          <w:szCs w:val="20"/>
        </w:rPr>
        <w:t>Контроль за</w:t>
      </w:r>
      <w:proofErr w:type="gramEnd"/>
      <w:r w:rsidRPr="00A2491B">
        <w:rPr>
          <w:rFonts w:ascii="Arial" w:eastAsia="Times New Roman" w:hAnsi="Arial" w:cs="Arial"/>
          <w:color w:val="2B2B2B"/>
          <w:sz w:val="20"/>
          <w:szCs w:val="20"/>
        </w:rPr>
        <w:t xml:space="preserve"> исполнением приказа оставляю за собой.</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rPr>
          <w:rFonts w:ascii="Arial" w:eastAsia="Times New Roman" w:hAnsi="Arial" w:cs="Arial"/>
          <w:color w:val="2B2B2B"/>
          <w:sz w:val="20"/>
          <w:szCs w:val="20"/>
        </w:rPr>
      </w:pPr>
      <w:r w:rsidRPr="00A2491B">
        <w:rPr>
          <w:rFonts w:ascii="Arial" w:eastAsia="Times New Roman" w:hAnsi="Arial" w:cs="Arial"/>
          <w:color w:val="2B2B2B"/>
          <w:sz w:val="20"/>
          <w:szCs w:val="20"/>
        </w:rPr>
        <w:t>Председатель Следственного комитета</w:t>
      </w:r>
      <w:r w:rsidRPr="00A2491B">
        <w:rPr>
          <w:rFonts w:ascii="Arial" w:eastAsia="Times New Roman" w:hAnsi="Arial" w:cs="Arial"/>
          <w:color w:val="2B2B2B"/>
          <w:sz w:val="20"/>
          <w:szCs w:val="20"/>
        </w:rPr>
        <w:br/>
        <w:t>Российской Федерации</w:t>
      </w:r>
      <w:r w:rsidRPr="00A2491B">
        <w:rPr>
          <w:rFonts w:ascii="Arial" w:eastAsia="Times New Roman" w:hAnsi="Arial" w:cs="Arial"/>
          <w:color w:val="2B2B2B"/>
          <w:sz w:val="20"/>
          <w:szCs w:val="20"/>
        </w:rPr>
        <w:br/>
        <w:t>генерал-полковник юстиции А.И. Бастрыкин</w:t>
      </w:r>
    </w:p>
    <w:p w:rsidR="00A2491B" w:rsidRPr="00A2491B" w:rsidRDefault="00A2491B" w:rsidP="00A2491B">
      <w:pPr>
        <w:spacing w:before="288" w:after="288" w:line="363" w:lineRule="atLeast"/>
        <w:jc w:val="right"/>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jc w:val="right"/>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jc w:val="right"/>
        <w:rPr>
          <w:rFonts w:ascii="Arial" w:eastAsia="Times New Roman" w:hAnsi="Arial" w:cs="Arial"/>
          <w:color w:val="2B2B2B"/>
          <w:sz w:val="20"/>
          <w:szCs w:val="20"/>
        </w:rPr>
      </w:pPr>
      <w:r w:rsidRPr="00A2491B">
        <w:rPr>
          <w:rFonts w:ascii="Arial" w:eastAsia="Times New Roman" w:hAnsi="Arial" w:cs="Arial"/>
          <w:color w:val="2B2B2B"/>
          <w:sz w:val="20"/>
          <w:szCs w:val="20"/>
        </w:rPr>
        <w:t>Приложение № 1</w:t>
      </w:r>
      <w:r w:rsidRPr="00A2491B">
        <w:rPr>
          <w:rFonts w:ascii="Arial" w:eastAsia="Times New Roman" w:hAnsi="Arial" w:cs="Arial"/>
          <w:color w:val="2B2B2B"/>
          <w:sz w:val="20"/>
          <w:szCs w:val="20"/>
        </w:rPr>
        <w:br/>
      </w:r>
      <w:r w:rsidRPr="00A2491B">
        <w:rPr>
          <w:rFonts w:ascii="Arial" w:eastAsia="Times New Roman" w:hAnsi="Arial" w:cs="Arial"/>
          <w:color w:val="2B2B2B"/>
          <w:sz w:val="20"/>
          <w:szCs w:val="20"/>
        </w:rPr>
        <w:br/>
      </w:r>
      <w:proofErr w:type="gramStart"/>
      <w:r w:rsidRPr="00A2491B">
        <w:rPr>
          <w:rFonts w:ascii="Arial" w:eastAsia="Times New Roman" w:hAnsi="Arial" w:cs="Arial"/>
          <w:color w:val="2B2B2B"/>
          <w:sz w:val="20"/>
          <w:szCs w:val="20"/>
        </w:rPr>
        <w:t>УТВЕРЖДЕН</w:t>
      </w:r>
      <w:proofErr w:type="gramEnd"/>
      <w:r w:rsidRPr="00A2491B">
        <w:rPr>
          <w:rFonts w:ascii="Arial" w:eastAsia="Times New Roman" w:hAnsi="Arial" w:cs="Arial"/>
          <w:color w:val="2B2B2B"/>
          <w:sz w:val="20"/>
          <w:szCs w:val="20"/>
        </w:rPr>
        <w:br/>
        <w:t>приказом</w:t>
      </w:r>
      <w:r w:rsidRPr="00A2491B">
        <w:rPr>
          <w:rFonts w:ascii="Arial" w:eastAsia="Times New Roman" w:hAnsi="Arial" w:cs="Arial"/>
          <w:color w:val="2B2B2B"/>
          <w:sz w:val="20"/>
          <w:szCs w:val="20"/>
        </w:rPr>
        <w:br/>
        <w:t>Следственного комитета</w:t>
      </w:r>
      <w:r w:rsidRPr="00A2491B">
        <w:rPr>
          <w:rFonts w:ascii="Arial" w:eastAsia="Times New Roman" w:hAnsi="Arial" w:cs="Arial"/>
          <w:color w:val="2B2B2B"/>
          <w:sz w:val="20"/>
          <w:szCs w:val="20"/>
        </w:rPr>
        <w:br/>
        <w:t>Российской Федерации</w:t>
      </w:r>
      <w:r w:rsidRPr="00A2491B">
        <w:rPr>
          <w:rFonts w:ascii="Arial" w:eastAsia="Times New Roman" w:hAnsi="Arial" w:cs="Arial"/>
          <w:color w:val="2B2B2B"/>
          <w:sz w:val="20"/>
          <w:szCs w:val="20"/>
        </w:rPr>
        <w:br/>
        <w:t>от 23.12.2013 № 83</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b/>
          <w:bCs/>
          <w:color w:val="2B2B2B"/>
          <w:sz w:val="20"/>
        </w:rPr>
        <w:t>ПОРЯДОК</w:t>
      </w:r>
      <w:r w:rsidRPr="00A2491B">
        <w:rPr>
          <w:rFonts w:ascii="Arial" w:eastAsia="Times New Roman" w:hAnsi="Arial" w:cs="Arial"/>
          <w:b/>
          <w:bCs/>
          <w:color w:val="2B2B2B"/>
          <w:sz w:val="20"/>
          <w:szCs w:val="20"/>
        </w:rPr>
        <w:br/>
      </w:r>
      <w:r w:rsidRPr="00A2491B">
        <w:rPr>
          <w:rFonts w:ascii="Arial" w:eastAsia="Times New Roman" w:hAnsi="Arial" w:cs="Arial"/>
          <w:b/>
          <w:bCs/>
          <w:color w:val="2B2B2B"/>
          <w:sz w:val="20"/>
        </w:rPr>
        <w:t>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b/>
          <w:bCs/>
          <w:color w:val="2B2B2B"/>
          <w:sz w:val="20"/>
        </w:rPr>
        <w:t> </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b/>
          <w:bCs/>
          <w:color w:val="2B2B2B"/>
          <w:sz w:val="20"/>
        </w:rPr>
        <w:t>I. Общие положения</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1. </w:t>
      </w:r>
      <w:proofErr w:type="gramStart"/>
      <w:r w:rsidRPr="00A2491B">
        <w:rPr>
          <w:rFonts w:ascii="Arial" w:eastAsia="Times New Roman" w:hAnsi="Arial" w:cs="Arial"/>
          <w:color w:val="2B2B2B"/>
          <w:sz w:val="20"/>
          <w:szCs w:val="20"/>
        </w:rPr>
        <w:t>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lastRenderedPageBreak/>
        <w:t>2. Невыполнение государственным служащим Следственного комитета должностной (служебной) обязанности, предусмотренной пунктом 1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3. </w:t>
      </w:r>
      <w:proofErr w:type="gramStart"/>
      <w:r w:rsidRPr="00A2491B">
        <w:rPr>
          <w:rFonts w:ascii="Arial" w:eastAsia="Times New Roman" w:hAnsi="Arial" w:cs="Arial"/>
          <w:color w:val="2B2B2B"/>
          <w:sz w:val="20"/>
          <w:szCs w:val="20"/>
        </w:rPr>
        <w:t>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b/>
          <w:bCs/>
          <w:color w:val="2B2B2B"/>
          <w:sz w:val="20"/>
        </w:rPr>
        <w:t>II. Процедура уведомления представителя нанимателя (работодателя)</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а) фамилия, имя, отчество государственного служащего Следственного комитета, подающего рапорт (заявление), его должность;</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б) все известные сведения о лице, склоняющем государственного служащего Следственного комитета к совершению правонарушения (фамилия, имя, отчество, должность и т.д.);</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в)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г) методы склонения к правонарушению (подкуп, угроза, обещание, обман, насилие и т.д.);</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д) время, дата склонения к правонарушению;</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е) место склонения к правонарушению;</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lastRenderedPageBreak/>
        <w:t>ж) обстоятельства склонения к правонарушению (телефонный разговор, личная встреча, почтовое отправление и т.д.);</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з) дата написания рапорта (заявления);</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и) подпись государственного служащего Следственного комитета, подающего рапорт (заявление);</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к) подтверждение предупреждения об уголовной ответственности за заведомо ложный донос в соответствии со статьей 306 Уголовного кодекса Российской Федерации (Собрание законодательства Российской Федерации 1996, № 25, ст. 2954; 2003, № 50, ст. 4848; 2011, № 50, ст. 7362).</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6. Рапорт (заявление) составляется незамедлительно после факта склонения к совершению коррупционного правонарушения и передается 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комитета, руководителями подразделений следственных органов Следственного комитета, руководителями</w:t>
      </w:r>
      <w:proofErr w:type="gramEnd"/>
      <w:r w:rsidRPr="00A2491B">
        <w:rPr>
          <w:rFonts w:ascii="Arial" w:eastAsia="Times New Roman" w:hAnsi="Arial" w:cs="Arial"/>
          <w:color w:val="2B2B2B"/>
          <w:sz w:val="20"/>
          <w:szCs w:val="20"/>
        </w:rPr>
        <w:t xml:space="preserve"> и сотрудниками учреждений Следственного комитета - в управление собственной безопасности Главного организационно-инспекторского управления;</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w:t>
      </w:r>
      <w:proofErr w:type="gramEnd"/>
      <w:r w:rsidRPr="00A2491B">
        <w:rPr>
          <w:rFonts w:ascii="Arial" w:eastAsia="Times New Roman" w:hAnsi="Arial" w:cs="Arial"/>
          <w:color w:val="2B2B2B"/>
          <w:sz w:val="20"/>
          <w:szCs w:val="20"/>
        </w:rPr>
        <w:t xml:space="preserve"> </w:t>
      </w:r>
      <w:proofErr w:type="gramStart"/>
      <w:r w:rsidRPr="00A2491B">
        <w:rPr>
          <w:rFonts w:ascii="Arial" w:eastAsia="Times New Roman" w:hAnsi="Arial" w:cs="Arial"/>
          <w:color w:val="2B2B2B"/>
          <w:sz w:val="20"/>
          <w:szCs w:val="20"/>
        </w:rPr>
        <w:t xml:space="preserve">военных следственных управлений Следственного комитета окружного звена по вопросам безопасности - в отдел обеспечения собственной безопасности и служебных проверок </w:t>
      </w:r>
      <w:r w:rsidRPr="00A2491B">
        <w:rPr>
          <w:rFonts w:ascii="Arial" w:eastAsia="Times New Roman" w:hAnsi="Arial" w:cs="Arial"/>
          <w:color w:val="2B2B2B"/>
          <w:sz w:val="20"/>
          <w:szCs w:val="20"/>
        </w:rPr>
        <w:lastRenderedPageBreak/>
        <w:t>Главного военного следственного 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w:t>
      </w:r>
      <w:proofErr w:type="gramEnd"/>
      <w:r w:rsidRPr="00A2491B">
        <w:rPr>
          <w:rFonts w:ascii="Arial" w:eastAsia="Times New Roman" w:hAnsi="Arial" w:cs="Arial"/>
          <w:color w:val="2B2B2B"/>
          <w:sz w:val="20"/>
          <w:szCs w:val="20"/>
        </w:rPr>
        <w:t xml:space="preserve">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 xml:space="preserve">государственными служащими следственных органов Следственного комитета и их подразделений (за исключением указанных в абзаце втором данного пункта) - в отделы обеспечения собственной безопасности или старшим помощникам (помощникам) по вопросам </w:t>
      </w:r>
      <w:proofErr w:type="gramStart"/>
      <w:r w:rsidRPr="00A2491B">
        <w:rPr>
          <w:rFonts w:ascii="Arial" w:eastAsia="Times New Roman" w:hAnsi="Arial" w:cs="Arial"/>
          <w:color w:val="2B2B2B"/>
          <w:sz w:val="20"/>
          <w:szCs w:val="20"/>
        </w:rPr>
        <w:t>безопасности руководителей указанных следственных органов Следственного комитета</w:t>
      </w:r>
      <w:proofErr w:type="gramEnd"/>
      <w:r w:rsidRPr="00A2491B">
        <w:rPr>
          <w:rFonts w:ascii="Arial" w:eastAsia="Times New Roman" w:hAnsi="Arial" w:cs="Arial"/>
          <w:color w:val="2B2B2B"/>
          <w:sz w:val="20"/>
          <w:szCs w:val="20"/>
        </w:rPr>
        <w:t>.</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7. </w:t>
      </w:r>
      <w:proofErr w:type="gramStart"/>
      <w:r w:rsidRPr="00A2491B">
        <w:rPr>
          <w:rFonts w:ascii="Arial" w:eastAsia="Times New Roman" w:hAnsi="Arial" w:cs="Arial"/>
          <w:color w:val="2B2B2B"/>
          <w:sz w:val="20"/>
          <w:szCs w:val="20"/>
        </w:rPr>
        <w:t>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доклада должностному лицу, которое принимает решение о проведении по нему проверки.</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8. Поданный рапорт (заявление) незамедлительно в день поступления регистрируется в Журнале.</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color w:val="2B2B2B"/>
          <w:sz w:val="20"/>
          <w:szCs w:val="20"/>
        </w:rPr>
        <w:t> </w:t>
      </w:r>
    </w:p>
    <w:p w:rsidR="00A2491B" w:rsidRPr="00A2491B" w:rsidRDefault="00A2491B" w:rsidP="00A2491B">
      <w:pPr>
        <w:spacing w:before="288" w:after="288" w:line="363" w:lineRule="atLeast"/>
        <w:jc w:val="center"/>
        <w:rPr>
          <w:rFonts w:ascii="Arial" w:eastAsia="Times New Roman" w:hAnsi="Arial" w:cs="Arial"/>
          <w:color w:val="2B2B2B"/>
          <w:sz w:val="20"/>
          <w:szCs w:val="20"/>
        </w:rPr>
      </w:pPr>
      <w:r w:rsidRPr="00A2491B">
        <w:rPr>
          <w:rFonts w:ascii="Arial" w:eastAsia="Times New Roman" w:hAnsi="Arial" w:cs="Arial"/>
          <w:b/>
          <w:bCs/>
          <w:color w:val="2B2B2B"/>
          <w:sz w:val="20"/>
        </w:rPr>
        <w:t>III. Организация проверки содержащихся в уведомлении сведений</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 xml:space="preserve">9. После регистрации в Журнале рапорты (заявления) в тот же день (за исключением выходных и </w:t>
      </w:r>
      <w:proofErr w:type="gramStart"/>
      <w:r w:rsidRPr="00A2491B">
        <w:rPr>
          <w:rFonts w:ascii="Arial" w:eastAsia="Times New Roman" w:hAnsi="Arial" w:cs="Arial"/>
          <w:color w:val="2B2B2B"/>
          <w:sz w:val="20"/>
          <w:szCs w:val="20"/>
        </w:rPr>
        <w:t>нерабочих праздничных</w:t>
      </w:r>
      <w:proofErr w:type="gramEnd"/>
      <w:r w:rsidRPr="00A2491B">
        <w:rPr>
          <w:rFonts w:ascii="Arial" w:eastAsia="Times New Roman" w:hAnsi="Arial" w:cs="Arial"/>
          <w:color w:val="2B2B2B"/>
          <w:sz w:val="20"/>
          <w:szCs w:val="20"/>
        </w:rPr>
        <w:t xml:space="preserve"> дней) передаются для принятия решения о проведении проверки содержащихся в них сведений:</w:t>
      </w:r>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lastRenderedPageBreak/>
        <w:t>сотрудников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федеральных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комитета Российской Федерации, курирующему работу управления кадров;</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государственных служащих Главного военного следственного управления, руководителей 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proofErr w:type="gramStart"/>
      <w:r w:rsidRPr="00A2491B">
        <w:rPr>
          <w:rFonts w:ascii="Arial" w:eastAsia="Times New Roman" w:hAnsi="Arial" w:cs="Arial"/>
          <w:color w:val="2B2B2B"/>
          <w:sz w:val="20"/>
          <w:szCs w:val="20"/>
        </w:rPr>
        <w:t>государственных служащих военных следственных управлений Следственного комитета окружного звена (за исключением указанных в абзаце четвертом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roofErr w:type="gramEnd"/>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государственных служащих следственных органов Следственного комитета, за исключением указанных в абзаце втором данного пункта, - руководителю соответствующего следственного органа Следственного комитета.</w:t>
      </w:r>
    </w:p>
    <w:p w:rsidR="00A2491B" w:rsidRPr="00A2491B" w:rsidRDefault="00A2491B" w:rsidP="00A2491B">
      <w:pPr>
        <w:spacing w:before="288" w:after="288" w:line="363" w:lineRule="atLeast"/>
        <w:jc w:val="both"/>
        <w:rPr>
          <w:rFonts w:ascii="Arial" w:eastAsia="Times New Roman" w:hAnsi="Arial" w:cs="Arial"/>
          <w:color w:val="2B2B2B"/>
          <w:sz w:val="20"/>
          <w:szCs w:val="20"/>
        </w:rPr>
      </w:pPr>
      <w:r w:rsidRPr="00A2491B">
        <w:rPr>
          <w:rFonts w:ascii="Arial" w:eastAsia="Times New Roman" w:hAnsi="Arial" w:cs="Arial"/>
          <w:color w:val="2B2B2B"/>
          <w:sz w:val="20"/>
          <w:szCs w:val="20"/>
        </w:rPr>
        <w:t>10. Проверка содержащихся в рапортах (заявлениях) сведений осуществляется в Следственном комитете в ходе служебных проверок.</w:t>
      </w:r>
    </w:p>
    <w:p w:rsidR="003F2F11" w:rsidRPr="00A2491B" w:rsidRDefault="003F2F11" w:rsidP="00A2491B">
      <w:pPr>
        <w:rPr>
          <w:szCs w:val="28"/>
        </w:rPr>
      </w:pPr>
    </w:p>
    <w:sectPr w:rsidR="003F2F11" w:rsidRPr="00A2491B" w:rsidSect="00C43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08"/>
  <w:characterSpacingControl w:val="doNotCompress"/>
  <w:compat>
    <w:useFELayout/>
  </w:compat>
  <w:rsids>
    <w:rsidRoot w:val="003F2F11"/>
    <w:rsid w:val="001822DA"/>
    <w:rsid w:val="001A7FF1"/>
    <w:rsid w:val="003F2F11"/>
    <w:rsid w:val="003F5B63"/>
    <w:rsid w:val="00700E5D"/>
    <w:rsid w:val="007F2D78"/>
    <w:rsid w:val="00A2491B"/>
    <w:rsid w:val="00C245D8"/>
    <w:rsid w:val="00C43792"/>
    <w:rsid w:val="00DD5941"/>
    <w:rsid w:val="00E11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92"/>
  </w:style>
  <w:style w:type="paragraph" w:styleId="4">
    <w:name w:val="heading 4"/>
    <w:basedOn w:val="a"/>
    <w:link w:val="40"/>
    <w:uiPriority w:val="9"/>
    <w:qFormat/>
    <w:rsid w:val="00A249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491B"/>
    <w:rPr>
      <w:rFonts w:ascii="Times New Roman" w:eastAsia="Times New Roman" w:hAnsi="Times New Roman" w:cs="Times New Roman"/>
      <w:b/>
      <w:bCs/>
      <w:sz w:val="24"/>
      <w:szCs w:val="24"/>
    </w:rPr>
  </w:style>
  <w:style w:type="character" w:styleId="a3">
    <w:name w:val="Strong"/>
    <w:basedOn w:val="a0"/>
    <w:uiPriority w:val="22"/>
    <w:qFormat/>
    <w:rsid w:val="00A2491B"/>
    <w:rPr>
      <w:b/>
      <w:bCs/>
    </w:rPr>
  </w:style>
  <w:style w:type="paragraph" w:styleId="a4">
    <w:name w:val="Normal (Web)"/>
    <w:basedOn w:val="a"/>
    <w:uiPriority w:val="99"/>
    <w:semiHidden/>
    <w:unhideWhenUsed/>
    <w:rsid w:val="00A24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017184">
      <w:bodyDiv w:val="1"/>
      <w:marLeft w:val="0"/>
      <w:marRight w:val="0"/>
      <w:marTop w:val="0"/>
      <w:marBottom w:val="0"/>
      <w:divBdr>
        <w:top w:val="none" w:sz="0" w:space="0" w:color="auto"/>
        <w:left w:val="none" w:sz="0" w:space="0" w:color="auto"/>
        <w:bottom w:val="none" w:sz="0" w:space="0" w:color="auto"/>
        <w:right w:val="none" w:sz="0" w:space="0" w:color="auto"/>
      </w:divBdr>
      <w:divsChild>
        <w:div w:id="364986773">
          <w:marLeft w:val="0"/>
          <w:marRight w:val="0"/>
          <w:marTop w:val="0"/>
          <w:marBottom w:val="0"/>
          <w:divBdr>
            <w:top w:val="none" w:sz="0" w:space="0" w:color="auto"/>
            <w:left w:val="none" w:sz="0" w:space="0" w:color="auto"/>
            <w:bottom w:val="none" w:sz="0" w:space="0" w:color="auto"/>
            <w:right w:val="none" w:sz="0" w:space="0" w:color="auto"/>
          </w:divBdr>
          <w:divsChild>
            <w:div w:id="20090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GaleevAM</dc:creator>
  <cp:keywords/>
  <dc:description/>
  <cp:lastModifiedBy>GaleevAM</cp:lastModifiedBy>
  <cp:revision>2</cp:revision>
  <dcterms:created xsi:type="dcterms:W3CDTF">2016-02-04T09:04:00Z</dcterms:created>
  <dcterms:modified xsi:type="dcterms:W3CDTF">2016-02-04T09:04:00Z</dcterms:modified>
</cp:coreProperties>
</file>